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default" w:ascii="Times New Roman" w:hAnsi="Times New Roman" w:eastAsia="黑体" w:cs="Times New Roman"/>
          <w:sz w:val="32"/>
          <w:szCs w:val="32"/>
          <w:lang w:eastAsia="zh-CN"/>
        </w:rPr>
      </w:pPr>
      <w:bookmarkStart w:id="0" w:name="_GoBack"/>
      <w:bookmarkEnd w:id="0"/>
      <w:r>
        <w:rPr>
          <w:rFonts w:hint="default" w:ascii="Times New Roman" w:hAnsi="Times New Roman" w:eastAsia="黑体" w:cs="Times New Roman"/>
          <w:sz w:val="32"/>
          <w:szCs w:val="32"/>
          <w:lang w:eastAsia="zh-CN"/>
        </w:rPr>
        <w:t>附件</w:t>
      </w:r>
    </w:p>
    <w:p>
      <w:pPr>
        <w:pStyle w:val="2"/>
        <w:rPr>
          <w:rFonts w:hint="default"/>
          <w:lang w:val="en-US" w:eastAsia="zh-CN"/>
        </w:rPr>
      </w:pPr>
    </w:p>
    <w:p>
      <w:pPr>
        <w:spacing w:line="580" w:lineRule="exact"/>
        <w:ind w:firstLine="0" w:firstLineChars="0"/>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202</w:t>
      </w:r>
      <w:r>
        <w:rPr>
          <w:rFonts w:hint="eastAsia" w:ascii="Times New Roman" w:hAnsi="Times New Roman" w:eastAsia="方正小标宋简体" w:cs="Times New Roman"/>
          <w:sz w:val="36"/>
          <w:szCs w:val="36"/>
          <w:lang w:val="en-US" w:eastAsia="zh-CN"/>
        </w:rPr>
        <w:t>4</w:t>
      </w:r>
      <w:r>
        <w:rPr>
          <w:rFonts w:hint="default" w:ascii="Times New Roman" w:hAnsi="Times New Roman" w:eastAsia="方正小标宋简体" w:cs="Times New Roman"/>
          <w:sz w:val="36"/>
          <w:szCs w:val="36"/>
        </w:rPr>
        <w:t>年水产养殖规范用药科普下乡活动方案</w:t>
      </w:r>
    </w:p>
    <w:p>
      <w:pPr>
        <w:spacing w:line="580" w:lineRule="exact"/>
        <w:ind w:firstLine="620"/>
        <w:rPr>
          <w:rFonts w:hint="default" w:ascii="Times New Roman" w:hAnsi="Times New Roman" w:eastAsia="仿宋_GB2312" w:cs="Times New Roman"/>
          <w:color w:val="000000"/>
          <w:kern w:val="0"/>
          <w:sz w:val="32"/>
          <w:szCs w:val="32"/>
          <w:lang w:eastAsia="zh-CN" w:bidi="ar"/>
        </w:rPr>
      </w:pPr>
    </w:p>
    <w:p>
      <w:pPr>
        <w:spacing w:line="580" w:lineRule="exact"/>
        <w:ind w:firstLine="62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eastAsia="zh-CN" w:bidi="ar"/>
        </w:rPr>
        <w:t>为</w:t>
      </w:r>
      <w:r>
        <w:rPr>
          <w:rFonts w:hint="eastAsia" w:ascii="Times New Roman" w:hAnsi="Times New Roman" w:eastAsia="仿宋_GB2312" w:cs="Times New Roman"/>
          <w:color w:val="000000"/>
          <w:kern w:val="0"/>
          <w:sz w:val="32"/>
          <w:szCs w:val="32"/>
          <w:lang w:eastAsia="zh-CN" w:bidi="ar"/>
        </w:rPr>
        <w:t>深入</w:t>
      </w:r>
      <w:r>
        <w:rPr>
          <w:rFonts w:hint="eastAsia" w:ascii="Times New Roman" w:hAnsi="Times New Roman" w:eastAsia="仿宋_GB2312" w:cs="Times New Roman"/>
          <w:color w:val="000000"/>
          <w:kern w:val="0"/>
          <w:sz w:val="32"/>
          <w:szCs w:val="32"/>
          <w:lang w:bidi="ar"/>
        </w:rPr>
        <w:t>贯彻习近平总书记“四个最严”“产出来”“管出来”等重要指示精神，坚持高质量发展和高水平安全良性互动</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落实</w:t>
      </w:r>
      <w:r>
        <w:rPr>
          <w:rFonts w:hint="eastAsia" w:ascii="Times New Roman" w:hAnsi="Times New Roman" w:eastAsia="仿宋_GB2312" w:cs="Times New Roman"/>
          <w:color w:val="000000"/>
          <w:kern w:val="0"/>
          <w:sz w:val="32"/>
          <w:szCs w:val="32"/>
          <w:lang w:eastAsia="zh-CN" w:bidi="ar"/>
        </w:rPr>
        <w:t>水产养殖</w:t>
      </w:r>
      <w:r>
        <w:rPr>
          <w:rFonts w:hint="default" w:ascii="Times New Roman" w:hAnsi="Times New Roman" w:eastAsia="仿宋_GB2312" w:cs="Times New Roman"/>
          <w:color w:val="000000"/>
          <w:kern w:val="0"/>
          <w:sz w:val="32"/>
          <w:szCs w:val="32"/>
          <w:lang w:bidi="ar"/>
        </w:rPr>
        <w:t>用药减量行动，</w:t>
      </w:r>
      <w:r>
        <w:rPr>
          <w:rFonts w:hint="default" w:ascii="Times New Roman" w:hAnsi="Times New Roman" w:eastAsia="仿宋_GB2312" w:cs="Times New Roman"/>
          <w:color w:val="000000"/>
          <w:kern w:val="0"/>
          <w:sz w:val="32"/>
          <w:szCs w:val="32"/>
          <w:lang w:eastAsia="zh-CN" w:bidi="ar"/>
        </w:rPr>
        <w:t>进一步</w:t>
      </w:r>
      <w:r>
        <w:rPr>
          <w:rFonts w:hint="default" w:ascii="Times New Roman" w:hAnsi="Times New Roman" w:eastAsia="仿宋_GB2312" w:cs="Times New Roman"/>
          <w:color w:val="000000"/>
          <w:kern w:val="0"/>
          <w:sz w:val="32"/>
          <w:szCs w:val="32"/>
          <w:lang w:bidi="ar"/>
        </w:rPr>
        <w:t>提高养殖</w:t>
      </w:r>
      <w:r>
        <w:rPr>
          <w:rFonts w:hint="eastAsia" w:ascii="Times New Roman" w:hAnsi="Times New Roman" w:eastAsia="仿宋_GB2312" w:cs="Times New Roman"/>
          <w:color w:val="000000"/>
          <w:kern w:val="0"/>
          <w:sz w:val="32"/>
          <w:szCs w:val="32"/>
          <w:lang w:eastAsia="zh-CN" w:bidi="ar"/>
        </w:rPr>
        <w:t>从</w:t>
      </w:r>
      <w:r>
        <w:rPr>
          <w:rFonts w:hint="default" w:ascii="Times New Roman" w:hAnsi="Times New Roman" w:eastAsia="仿宋_GB2312" w:cs="Times New Roman"/>
          <w:color w:val="000000"/>
          <w:kern w:val="0"/>
          <w:sz w:val="32"/>
          <w:szCs w:val="32"/>
          <w:lang w:bidi="ar"/>
        </w:rPr>
        <w:t>业者规范</w:t>
      </w:r>
      <w:r>
        <w:rPr>
          <w:rFonts w:hint="eastAsia" w:ascii="Times New Roman" w:hAnsi="Times New Roman" w:eastAsia="仿宋_GB2312" w:cs="Times New Roman"/>
          <w:color w:val="000000"/>
          <w:kern w:val="0"/>
          <w:sz w:val="32"/>
          <w:szCs w:val="32"/>
          <w:lang w:eastAsia="zh-CN" w:bidi="ar"/>
        </w:rPr>
        <w:t>使用</w:t>
      </w:r>
      <w:r>
        <w:rPr>
          <w:rFonts w:hint="default" w:ascii="Times New Roman" w:hAnsi="Times New Roman" w:eastAsia="仿宋_GB2312" w:cs="Times New Roman"/>
          <w:color w:val="000000"/>
          <w:kern w:val="0"/>
          <w:sz w:val="32"/>
          <w:szCs w:val="32"/>
          <w:lang w:bidi="ar"/>
        </w:rPr>
        <w:t>水产养殖用兽药及其他投入品</w:t>
      </w:r>
      <w:r>
        <w:rPr>
          <w:rFonts w:hint="eastAsia" w:ascii="Times New Roman" w:hAnsi="Times New Roman" w:eastAsia="仿宋_GB2312" w:cs="Times New Roman"/>
          <w:color w:val="000000"/>
          <w:kern w:val="0"/>
          <w:sz w:val="32"/>
          <w:szCs w:val="32"/>
          <w:lang w:eastAsia="zh-CN" w:bidi="ar"/>
        </w:rPr>
        <w:t>的</w:t>
      </w:r>
      <w:r>
        <w:rPr>
          <w:rFonts w:hint="default" w:ascii="Times New Roman" w:hAnsi="Times New Roman" w:eastAsia="仿宋_GB2312" w:cs="Times New Roman"/>
          <w:color w:val="000000"/>
          <w:kern w:val="0"/>
          <w:sz w:val="32"/>
          <w:szCs w:val="32"/>
          <w:lang w:bidi="ar"/>
        </w:rPr>
        <w:t>意识</w:t>
      </w:r>
      <w:r>
        <w:rPr>
          <w:rFonts w:hint="eastAsia" w:ascii="Times New Roman" w:hAnsi="Times New Roman" w:eastAsia="仿宋_GB2312" w:cs="Times New Roman"/>
          <w:color w:val="000000"/>
          <w:kern w:val="0"/>
          <w:sz w:val="32"/>
          <w:szCs w:val="32"/>
          <w:lang w:eastAsia="zh-CN" w:bidi="ar"/>
        </w:rPr>
        <w:t>水平</w:t>
      </w:r>
      <w:r>
        <w:rPr>
          <w:rFonts w:hint="default" w:ascii="Times New Roman" w:hAnsi="Times New Roman" w:eastAsia="仿宋_GB2312" w:cs="Times New Roman"/>
          <w:color w:val="000000"/>
          <w:kern w:val="0"/>
          <w:sz w:val="32"/>
          <w:szCs w:val="32"/>
          <w:lang w:eastAsia="zh-CN" w:bidi="ar"/>
        </w:rPr>
        <w:t>，</w:t>
      </w:r>
      <w:r>
        <w:rPr>
          <w:rFonts w:hint="eastAsia" w:ascii="Times New Roman" w:hAnsi="Times New Roman" w:eastAsia="仿宋_GB2312" w:cs="Times New Roman"/>
          <w:color w:val="000000"/>
          <w:kern w:val="0"/>
          <w:sz w:val="32"/>
          <w:szCs w:val="32"/>
          <w:lang w:bidi="ar"/>
        </w:rPr>
        <w:t>推动</w:t>
      </w:r>
      <w:r>
        <w:rPr>
          <w:rFonts w:hint="eastAsia" w:ascii="Times New Roman" w:hAnsi="Times New Roman" w:eastAsia="仿宋_GB2312" w:cs="Times New Roman"/>
          <w:color w:val="000000"/>
          <w:kern w:val="0"/>
          <w:sz w:val="32"/>
          <w:szCs w:val="32"/>
          <w:lang w:eastAsia="zh-CN" w:bidi="ar"/>
        </w:rPr>
        <w:t>水</w:t>
      </w:r>
      <w:r>
        <w:rPr>
          <w:rFonts w:hint="eastAsia" w:ascii="Times New Roman" w:hAnsi="Times New Roman" w:eastAsia="仿宋_GB2312" w:cs="Times New Roman"/>
          <w:color w:val="000000"/>
          <w:kern w:val="0"/>
          <w:sz w:val="32"/>
          <w:szCs w:val="32"/>
          <w:lang w:bidi="ar"/>
        </w:rPr>
        <w:t>产品质量安全水平稳步提升</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全国水产技术推广总站（以下简称“总站”）继续组织开展水产养殖规范用药科普下乡活动。方案</w:t>
      </w:r>
      <w:r>
        <w:rPr>
          <w:rFonts w:hint="default" w:ascii="Times New Roman" w:hAnsi="Times New Roman" w:eastAsia="仿宋_GB2312" w:cs="Times New Roman"/>
          <w:sz w:val="32"/>
          <w:szCs w:val="32"/>
          <w:lang w:eastAsia="zh-CN"/>
        </w:rPr>
        <w:t>如下</w:t>
      </w:r>
      <w:r>
        <w:rPr>
          <w:rFonts w:hint="default" w:ascii="Times New Roman" w:hAnsi="Times New Roman" w:eastAsia="仿宋_GB2312" w:cs="Times New Roman"/>
          <w:sz w:val="32"/>
          <w:szCs w:val="32"/>
        </w:rPr>
        <w:t>。</w:t>
      </w:r>
    </w:p>
    <w:p>
      <w:pPr>
        <w:spacing w:line="580" w:lineRule="exact"/>
        <w:ind w:firstLine="640"/>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工作任务</w:t>
      </w:r>
    </w:p>
    <w:p>
      <w:pPr>
        <w:keepNext w:val="0"/>
        <w:keepLines w:val="0"/>
        <w:widowControl/>
        <w:suppressLineNumbers w:val="0"/>
        <w:ind w:firstLine="640" w:firstLineChars="200"/>
        <w:jc w:val="left"/>
        <w:rPr>
          <w:color w:val="auto"/>
        </w:rPr>
      </w:pPr>
      <w:r>
        <w:rPr>
          <w:rFonts w:hint="default" w:ascii="Times New Roman" w:hAnsi="Times New Roman" w:eastAsia="仿宋_GB2312" w:cs="Times New Roman"/>
          <w:color w:val="000000"/>
          <w:kern w:val="0"/>
          <w:sz w:val="32"/>
          <w:szCs w:val="32"/>
          <w:lang w:bidi="ar"/>
        </w:rPr>
        <w:t>通过宣传</w:t>
      </w:r>
      <w:r>
        <w:rPr>
          <w:rFonts w:hint="eastAsia"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中华人民共和国农产品质量安全法》《兽药管理条例》等法律法规和《水产养殖用药明白纸</w:t>
      </w:r>
      <w:r>
        <w:rPr>
          <w:rFonts w:hint="eastAsia" w:ascii="Times New Roman" w:hAnsi="Times New Roman" w:eastAsia="仿宋_GB2312" w:cs="Times New Roman"/>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bidi="ar"/>
        </w:rPr>
        <w:t>等材料，加强对养殖从业者的技术培训和用药指导</w:t>
      </w:r>
      <w:r>
        <w:rPr>
          <w:rFonts w:hint="default" w:ascii="Times New Roman" w:hAnsi="Times New Roman" w:eastAsia="仿宋_GB2312" w:cs="Times New Roman"/>
          <w:color w:val="000000"/>
          <w:kern w:val="0"/>
          <w:sz w:val="32"/>
          <w:szCs w:val="32"/>
          <w:lang w:val="en-US" w:eastAsia="zh-CN" w:bidi="ar"/>
        </w:rPr>
        <w:t>，不断</w:t>
      </w:r>
      <w:r>
        <w:rPr>
          <w:rFonts w:hint="eastAsia" w:ascii="Times New Roman" w:hAnsi="Times New Roman" w:eastAsia="仿宋_GB2312" w:cs="Times New Roman"/>
          <w:color w:val="000000"/>
          <w:kern w:val="0"/>
          <w:sz w:val="32"/>
          <w:szCs w:val="32"/>
          <w:lang w:val="en-US" w:eastAsia="zh-CN" w:bidi="ar"/>
        </w:rPr>
        <w:t>增强</w:t>
      </w:r>
      <w:r>
        <w:rPr>
          <w:rFonts w:hint="default" w:ascii="Times New Roman" w:hAnsi="Times New Roman" w:eastAsia="仿宋_GB2312" w:cs="Times New Roman"/>
          <w:color w:val="000000"/>
          <w:kern w:val="0"/>
          <w:sz w:val="32"/>
          <w:szCs w:val="32"/>
          <w:lang w:val="en-US" w:eastAsia="zh-CN" w:bidi="ar"/>
        </w:rPr>
        <w:t>养殖</w:t>
      </w:r>
      <w:r>
        <w:rPr>
          <w:rFonts w:hint="eastAsia" w:ascii="Times New Roman" w:hAnsi="Times New Roman" w:eastAsia="仿宋_GB2312" w:cs="Times New Roman"/>
          <w:color w:val="000000"/>
          <w:kern w:val="0"/>
          <w:sz w:val="32"/>
          <w:szCs w:val="32"/>
          <w:lang w:val="en-US" w:eastAsia="zh-CN" w:bidi="ar"/>
        </w:rPr>
        <w:t>从业</w:t>
      </w:r>
      <w:r>
        <w:rPr>
          <w:rFonts w:hint="default" w:ascii="Times New Roman" w:hAnsi="Times New Roman" w:eastAsia="仿宋_GB2312" w:cs="Times New Roman"/>
          <w:color w:val="000000"/>
          <w:kern w:val="0"/>
          <w:sz w:val="32"/>
          <w:szCs w:val="32"/>
          <w:lang w:val="en-US" w:eastAsia="zh-CN" w:bidi="ar"/>
        </w:rPr>
        <w:t>者规范用药意识。</w:t>
      </w:r>
      <w:r>
        <w:rPr>
          <w:rFonts w:hint="eastAsia" w:ascii="Times New Roman" w:hAnsi="Times New Roman" w:eastAsia="仿宋_GB2312" w:cs="Times New Roman"/>
          <w:color w:val="000000"/>
          <w:kern w:val="0"/>
          <w:sz w:val="32"/>
          <w:szCs w:val="32"/>
          <w:lang w:eastAsia="zh-CN" w:bidi="ar"/>
        </w:rPr>
        <w:t>聚焦</w:t>
      </w:r>
      <w:r>
        <w:rPr>
          <w:rFonts w:hint="eastAsia" w:ascii="Times New Roman" w:hAnsi="Times New Roman" w:eastAsia="仿宋_GB2312" w:cs="Times New Roman"/>
          <w:b/>
          <w:bCs/>
          <w:kern w:val="0"/>
          <w:sz w:val="32"/>
          <w:szCs w:val="32"/>
          <w:lang w:eastAsia="zh-CN"/>
        </w:rPr>
        <w:t>鳊鱼、大口黑鲈、鲫鱼、乌鳢、黄鳝、大黄鱼</w:t>
      </w:r>
      <w:r>
        <w:rPr>
          <w:rFonts w:hint="eastAsia" w:ascii="Times New Roman" w:hAnsi="Times New Roman" w:eastAsia="仿宋_GB2312" w:cs="Times New Roman"/>
          <w:kern w:val="0"/>
          <w:sz w:val="32"/>
          <w:szCs w:val="32"/>
          <w:lang w:eastAsia="zh-CN"/>
        </w:rPr>
        <w:t>和</w:t>
      </w:r>
      <w:r>
        <w:rPr>
          <w:rFonts w:hint="eastAsia" w:ascii="Times New Roman" w:hAnsi="Times New Roman" w:eastAsia="仿宋_GB2312" w:cs="Times New Roman"/>
          <w:b/>
          <w:bCs/>
          <w:kern w:val="0"/>
          <w:sz w:val="32"/>
          <w:szCs w:val="32"/>
          <w:lang w:eastAsia="zh-CN"/>
        </w:rPr>
        <w:t>牛蛙</w:t>
      </w:r>
      <w:r>
        <w:rPr>
          <w:rFonts w:hint="eastAsia" w:ascii="Times New Roman" w:hAnsi="Times New Roman" w:eastAsia="仿宋_GB2312" w:cs="Times New Roman"/>
          <w:kern w:val="0"/>
          <w:sz w:val="32"/>
          <w:szCs w:val="32"/>
          <w:lang w:eastAsia="zh-CN"/>
        </w:rPr>
        <w:t>等</w:t>
      </w:r>
      <w:r>
        <w:rPr>
          <w:rFonts w:hint="eastAsia" w:ascii="Times New Roman" w:hAnsi="Times New Roman" w:eastAsia="仿宋_GB2312" w:cs="Times New Roman"/>
          <w:kern w:val="0"/>
          <w:sz w:val="32"/>
          <w:szCs w:val="32"/>
          <w:lang w:val="en-US" w:eastAsia="zh-CN"/>
        </w:rPr>
        <w:t>7个</w:t>
      </w:r>
      <w:r>
        <w:rPr>
          <w:rFonts w:hint="eastAsia" w:ascii="Times New Roman" w:hAnsi="Times New Roman" w:eastAsia="仿宋_GB2312" w:cs="Times New Roman"/>
          <w:color w:val="000000"/>
          <w:kern w:val="0"/>
          <w:sz w:val="32"/>
          <w:szCs w:val="32"/>
          <w:lang w:val="en-US" w:eastAsia="zh-CN" w:bidi="ar"/>
        </w:rPr>
        <w:t>重点养殖品种</w:t>
      </w:r>
      <w:r>
        <w:rPr>
          <w:rFonts w:hint="eastAsia" w:ascii="Times New Roman" w:hAnsi="Times New Roman" w:eastAsia="仿宋_GB2312" w:cs="Times New Roman"/>
          <w:color w:val="000000"/>
          <w:kern w:val="0"/>
          <w:sz w:val="32"/>
          <w:szCs w:val="32"/>
          <w:lang w:eastAsia="zh-CN" w:bidi="ar"/>
        </w:rPr>
        <w:t>的</w:t>
      </w:r>
      <w:r>
        <w:rPr>
          <w:rFonts w:hint="eastAsia" w:ascii="Times New Roman" w:hAnsi="Times New Roman" w:eastAsia="仿宋_GB2312" w:cs="Times New Roman"/>
          <w:color w:val="000000"/>
          <w:kern w:val="0"/>
          <w:sz w:val="32"/>
          <w:szCs w:val="32"/>
          <w:lang w:bidi="ar"/>
        </w:rPr>
        <w:t>药残</w:t>
      </w:r>
      <w:r>
        <w:rPr>
          <w:rFonts w:hint="eastAsia" w:ascii="Times New Roman" w:hAnsi="Times New Roman" w:eastAsia="仿宋_GB2312" w:cs="Times New Roman"/>
          <w:color w:val="000000"/>
          <w:kern w:val="0"/>
          <w:sz w:val="32"/>
          <w:szCs w:val="32"/>
          <w:lang w:val="en-US" w:eastAsia="zh-CN" w:bidi="ar"/>
        </w:rPr>
        <w:t>攻坚治理</w:t>
      </w:r>
      <w:r>
        <w:rPr>
          <w:rFonts w:hint="eastAsia" w:ascii="Times New Roman" w:hAnsi="Times New Roman" w:eastAsia="仿宋_GB2312" w:cs="Times New Roman"/>
          <w:color w:val="000000"/>
          <w:kern w:val="0"/>
          <w:sz w:val="32"/>
          <w:szCs w:val="32"/>
          <w:lang w:bidi="ar"/>
        </w:rPr>
        <w:t>，</w:t>
      </w:r>
      <w:r>
        <w:rPr>
          <w:rFonts w:hint="eastAsia" w:ascii="Times New Roman" w:hAnsi="Times New Roman" w:eastAsia="仿宋_GB2312" w:cs="Times New Roman"/>
          <w:color w:val="000000"/>
          <w:kern w:val="0"/>
          <w:sz w:val="32"/>
          <w:szCs w:val="32"/>
          <w:lang w:eastAsia="zh-CN" w:bidi="ar"/>
        </w:rPr>
        <w:t>梳理</w:t>
      </w:r>
      <w:r>
        <w:rPr>
          <w:rFonts w:hint="eastAsia" w:ascii="Times New Roman" w:hAnsi="Times New Roman" w:eastAsia="仿宋_GB2312" w:cs="Times New Roman"/>
          <w:color w:val="000000"/>
          <w:kern w:val="0"/>
          <w:sz w:val="32"/>
          <w:szCs w:val="32"/>
          <w:lang w:bidi="ar"/>
        </w:rPr>
        <w:t>质量安全风险防控清单</w:t>
      </w:r>
      <w:r>
        <w:rPr>
          <w:rFonts w:hint="eastAsia" w:ascii="Times New Roman" w:hAnsi="Times New Roman" w:eastAsia="仿宋_GB2312" w:cs="Times New Roman"/>
          <w:color w:val="000000"/>
          <w:kern w:val="0"/>
          <w:sz w:val="32"/>
          <w:szCs w:val="32"/>
          <w:lang w:eastAsia="zh-CN" w:bidi="ar"/>
        </w:rPr>
        <w:t>，有针对性地开展</w:t>
      </w:r>
      <w:r>
        <w:rPr>
          <w:rFonts w:hint="eastAsia" w:ascii="Times New Roman" w:hAnsi="Times New Roman" w:eastAsia="仿宋_GB2312" w:cs="Times New Roman"/>
          <w:color w:val="000000"/>
          <w:kern w:val="0"/>
          <w:sz w:val="32"/>
          <w:szCs w:val="32"/>
          <w:lang w:val="en-US" w:eastAsia="zh-CN" w:bidi="ar"/>
        </w:rPr>
        <w:t>规范使用</w:t>
      </w:r>
      <w:r>
        <w:rPr>
          <w:rFonts w:hint="default" w:ascii="Times New Roman" w:hAnsi="Times New Roman" w:eastAsia="仿宋_GB2312" w:cs="Times New Roman"/>
          <w:color w:val="000000"/>
          <w:kern w:val="0"/>
          <w:sz w:val="32"/>
          <w:szCs w:val="32"/>
          <w:lang w:val="en-US" w:eastAsia="zh-CN" w:bidi="ar"/>
        </w:rPr>
        <w:t>恩诺沙星、环丙沙星</w:t>
      </w:r>
      <w:r>
        <w:rPr>
          <w:rFonts w:hint="eastAsia" w:ascii="Times New Roman" w:hAnsi="Times New Roman" w:eastAsia="仿宋_GB2312" w:cs="Times New Roman"/>
          <w:color w:val="000000"/>
          <w:kern w:val="0"/>
          <w:sz w:val="32"/>
          <w:szCs w:val="32"/>
          <w:lang w:val="en-US" w:eastAsia="zh-CN" w:bidi="ar"/>
        </w:rPr>
        <w:t>等</w:t>
      </w:r>
      <w:r>
        <w:rPr>
          <w:rFonts w:hint="default" w:ascii="Times New Roman" w:hAnsi="Times New Roman" w:eastAsia="仿宋_GB2312" w:cs="Times New Roman"/>
          <w:color w:val="000000"/>
          <w:kern w:val="0"/>
          <w:sz w:val="32"/>
          <w:szCs w:val="32"/>
          <w:lang w:val="en-US" w:eastAsia="zh-CN" w:bidi="ar"/>
        </w:rPr>
        <w:t>抗菌类国标渔药</w:t>
      </w:r>
      <w:r>
        <w:rPr>
          <w:rFonts w:hint="eastAsia"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bidi="ar"/>
        </w:rPr>
        <w:t>建立用药记录制度</w:t>
      </w:r>
      <w:r>
        <w:rPr>
          <w:rFonts w:hint="eastAsia" w:ascii="Times New Roman" w:hAnsi="Times New Roman" w:eastAsia="仿宋_GB2312" w:cs="Times New Roman"/>
          <w:color w:val="000000"/>
          <w:kern w:val="0"/>
          <w:sz w:val="32"/>
          <w:szCs w:val="32"/>
          <w:lang w:eastAsia="zh-CN" w:bidi="ar"/>
        </w:rPr>
        <w:t>、遵守休药期制度、辨别真假水产养殖用兽药等</w:t>
      </w:r>
      <w:r>
        <w:rPr>
          <w:rFonts w:hint="eastAsia" w:ascii="Times New Roman" w:hAnsi="Times New Roman" w:eastAsia="仿宋_GB2312" w:cs="Times New Roman"/>
          <w:color w:val="000000"/>
          <w:kern w:val="0"/>
          <w:sz w:val="32"/>
          <w:szCs w:val="32"/>
          <w:lang w:val="en-US" w:eastAsia="zh-CN" w:bidi="ar"/>
        </w:rPr>
        <w:t>技术指导，提高养殖从业者科学合理用药的能力和水平。</w:t>
      </w:r>
      <w:r>
        <w:rPr>
          <w:rFonts w:hint="default" w:ascii="Times New Roman" w:hAnsi="Times New Roman" w:eastAsia="仿宋_GB2312" w:cs="Times New Roman"/>
          <w:color w:val="000000"/>
          <w:kern w:val="0"/>
          <w:sz w:val="32"/>
          <w:szCs w:val="32"/>
          <w:lang w:val="en-US" w:eastAsia="zh-CN" w:bidi="ar"/>
        </w:rPr>
        <w:t>加大违法违规用药警示教育</w:t>
      </w:r>
      <w:r>
        <w:rPr>
          <w:rFonts w:hint="eastAsia" w:ascii="Times New Roman" w:hAnsi="Times New Roman" w:eastAsia="仿宋_GB2312" w:cs="Times New Roman"/>
          <w:color w:val="000000"/>
          <w:kern w:val="0"/>
          <w:sz w:val="32"/>
          <w:szCs w:val="32"/>
          <w:lang w:val="en-US" w:eastAsia="zh-CN" w:bidi="ar"/>
        </w:rPr>
        <w:t>和解析，宣讲</w:t>
      </w:r>
      <w:r>
        <w:rPr>
          <w:rFonts w:hint="default" w:ascii="Times New Roman" w:hAnsi="Times New Roman" w:eastAsia="仿宋_GB2312" w:cs="Times New Roman"/>
          <w:color w:val="000000"/>
          <w:kern w:val="0"/>
          <w:sz w:val="32"/>
          <w:szCs w:val="32"/>
          <w:lang w:val="en-US" w:eastAsia="zh-CN" w:bidi="ar"/>
        </w:rPr>
        <w:t>孔雀石绿和硝基呋喃类等禁用药物、氧氟沙星和诺氟沙星等停用药物</w:t>
      </w:r>
      <w:r>
        <w:rPr>
          <w:rFonts w:hint="eastAsia" w:ascii="Times New Roman" w:hAnsi="Times New Roman" w:eastAsia="仿宋_GB2312" w:cs="Times New Roman"/>
          <w:color w:val="000000"/>
          <w:kern w:val="0"/>
          <w:sz w:val="32"/>
          <w:szCs w:val="32"/>
          <w:lang w:val="en-US" w:eastAsia="zh-CN" w:bidi="ar"/>
        </w:rPr>
        <w:t>的</w:t>
      </w:r>
      <w:r>
        <w:rPr>
          <w:rFonts w:hint="default" w:ascii="Times New Roman" w:hAnsi="Times New Roman" w:eastAsia="仿宋_GB2312" w:cs="Times New Roman"/>
          <w:color w:val="000000"/>
          <w:kern w:val="0"/>
          <w:sz w:val="32"/>
          <w:szCs w:val="32"/>
          <w:lang w:val="en-US" w:eastAsia="zh-CN" w:bidi="ar"/>
        </w:rPr>
        <w:t>使用</w:t>
      </w:r>
      <w:r>
        <w:rPr>
          <w:rFonts w:hint="eastAsia" w:ascii="Times New Roman" w:hAnsi="Times New Roman" w:eastAsia="仿宋_GB2312" w:cs="Times New Roman"/>
          <w:color w:val="000000"/>
          <w:kern w:val="0"/>
          <w:sz w:val="32"/>
          <w:szCs w:val="32"/>
          <w:lang w:val="en-US" w:eastAsia="zh-CN" w:bidi="ar"/>
        </w:rPr>
        <w:t>危害</w:t>
      </w:r>
      <w:r>
        <w:rPr>
          <w:rFonts w:hint="default"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auto"/>
          <w:kern w:val="0"/>
          <w:sz w:val="32"/>
          <w:szCs w:val="32"/>
          <w:lang w:eastAsia="zh-CN" w:bidi="ar"/>
        </w:rPr>
        <w:t>推动养殖从业者落实水产养殖规范用药“六个不用”。</w:t>
      </w:r>
    </w:p>
    <w:p>
      <w:pPr>
        <w:spacing w:line="580" w:lineRule="exact"/>
        <w:ind w:firstLine="640"/>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二、有关要求</w:t>
      </w:r>
    </w:p>
    <w:p>
      <w:pPr>
        <w:spacing w:line="580" w:lineRule="exact"/>
        <w:ind w:firstLine="643"/>
        <w:rPr>
          <w:rFonts w:hint="eastAsia" w:ascii="仿宋_GB2312" w:hAnsi="仿宋_GB2312" w:eastAsia="仿宋_GB2312" w:cs="仿宋_GB2312"/>
          <w:color w:val="000000"/>
          <w:kern w:val="0"/>
          <w:sz w:val="32"/>
          <w:szCs w:val="32"/>
          <w:lang w:val="en-US" w:eastAsia="zh-CN" w:bidi="ar"/>
        </w:rPr>
      </w:pPr>
      <w:r>
        <w:rPr>
          <w:rFonts w:hint="default" w:ascii="Times New Roman" w:hAnsi="Times New Roman" w:eastAsia="楷体_GB2312" w:cs="Times New Roman"/>
          <w:b/>
          <w:bCs/>
          <w:sz w:val="32"/>
          <w:szCs w:val="32"/>
        </w:rPr>
        <w:t>（一）</w:t>
      </w:r>
      <w:r>
        <w:rPr>
          <w:rFonts w:hint="default" w:ascii="Times New Roman" w:hAnsi="Times New Roman" w:eastAsia="楷体_GB2312" w:cs="Times New Roman"/>
          <w:b/>
          <w:bCs/>
          <w:sz w:val="32"/>
          <w:szCs w:val="32"/>
          <w:lang w:eastAsia="zh-CN"/>
        </w:rPr>
        <w:t>提高认识</w:t>
      </w:r>
      <w:r>
        <w:rPr>
          <w:rFonts w:hint="default"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eastAsia="zh-CN"/>
        </w:rPr>
        <w:t>系统谋划</w:t>
      </w:r>
      <w:r>
        <w:rPr>
          <w:rFonts w:hint="default" w:ascii="Times New Roman" w:hAnsi="Times New Roman" w:eastAsia="楷体_GB2312" w:cs="Times New Roman"/>
          <w:b/>
          <w:bCs/>
          <w:sz w:val="32"/>
          <w:szCs w:val="32"/>
        </w:rPr>
        <w:t>。</w:t>
      </w:r>
      <w:r>
        <w:rPr>
          <w:rFonts w:hint="eastAsia" w:ascii="仿宋_GB2312" w:hAnsi="仿宋_GB2312" w:eastAsia="仿宋_GB2312" w:cs="仿宋_GB2312"/>
          <w:b w:val="0"/>
          <w:bCs w:val="0"/>
          <w:sz w:val="32"/>
          <w:szCs w:val="32"/>
          <w:lang w:eastAsia="zh-CN"/>
        </w:rPr>
        <w:t>投入品规范使用是保障水产品质量安全的关键环节。</w:t>
      </w:r>
      <w:r>
        <w:rPr>
          <w:rFonts w:hint="eastAsia" w:ascii="仿宋_GB2312" w:hAnsi="仿宋_GB2312" w:eastAsia="仿宋_GB2312" w:cs="仿宋_GB2312"/>
          <w:color w:val="000000"/>
          <w:kern w:val="0"/>
          <w:sz w:val="32"/>
          <w:szCs w:val="32"/>
          <w:lang w:val="en-US" w:eastAsia="zh-CN" w:bidi="ar"/>
        </w:rPr>
        <w:t>各地应充分认识水产养殖规范用药科普下乡活动是落实水产养殖用药减量行动、助力提升水产品质量安全水平的有效途径。要围绕重点养殖品种全生产链条质量安全管控技术要求，系统制定本地区实施方案，通过有效开展科普下乡活动，稳步提升养殖从业者规范使用投入品的技术水平和主观意识。</w:t>
      </w:r>
    </w:p>
    <w:p>
      <w:pPr>
        <w:spacing w:line="580" w:lineRule="exact"/>
        <w:ind w:firstLine="643"/>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楷体_GB2312" w:cs="Times New Roman"/>
          <w:b/>
          <w:bCs/>
          <w:sz w:val="32"/>
          <w:szCs w:val="32"/>
        </w:rPr>
        <w:t>（二）</w:t>
      </w:r>
      <w:r>
        <w:rPr>
          <w:rFonts w:hint="eastAsia" w:ascii="Times New Roman" w:hAnsi="Times New Roman" w:eastAsia="楷体_GB2312" w:cs="Times New Roman"/>
          <w:b/>
          <w:bCs/>
          <w:sz w:val="32"/>
          <w:szCs w:val="32"/>
          <w:lang w:eastAsia="zh-CN"/>
        </w:rPr>
        <w:t>创新举措</w:t>
      </w:r>
      <w:r>
        <w:rPr>
          <w:rFonts w:hint="default" w:ascii="Times New Roman" w:hAnsi="Times New Roman" w:eastAsia="楷体_GB2312" w:cs="Times New Roman"/>
          <w:b/>
          <w:bCs/>
          <w:sz w:val="32"/>
          <w:szCs w:val="32"/>
          <w:lang w:eastAsia="zh-CN"/>
        </w:rPr>
        <w:t>，</w:t>
      </w:r>
      <w:r>
        <w:rPr>
          <w:rFonts w:hint="eastAsia" w:ascii="Times New Roman" w:hAnsi="Times New Roman" w:eastAsia="楷体_GB2312" w:cs="Times New Roman"/>
          <w:b/>
          <w:bCs/>
          <w:sz w:val="32"/>
          <w:szCs w:val="32"/>
          <w:lang w:eastAsia="zh-CN"/>
        </w:rPr>
        <w:t>注重实效</w:t>
      </w:r>
      <w:r>
        <w:rPr>
          <w:rFonts w:hint="default" w:ascii="Times New Roman" w:hAnsi="Times New Roman" w:eastAsia="楷体_GB2312" w:cs="Times New Roman"/>
          <w:b/>
          <w:bCs/>
          <w:sz w:val="32"/>
          <w:szCs w:val="32"/>
          <w:lang w:eastAsia="zh-CN"/>
        </w:rPr>
        <w:t>。</w:t>
      </w:r>
      <w:r>
        <w:rPr>
          <w:rFonts w:hint="eastAsia" w:ascii="仿宋_GB2312" w:hAnsi="仿宋_GB2312" w:eastAsia="仿宋_GB2312" w:cs="仿宋_GB2312"/>
          <w:b w:val="0"/>
          <w:bCs w:val="0"/>
          <w:sz w:val="32"/>
          <w:szCs w:val="32"/>
          <w:lang w:eastAsia="zh-CN"/>
        </w:rPr>
        <w:t>坚守水产品质量安全底线，聚焦药残治理重点品种在养殖环节存在的质量安全风险，</w:t>
      </w:r>
      <w:r>
        <w:rPr>
          <w:rFonts w:hint="eastAsia" w:ascii="仿宋_GB2312" w:hAnsi="仿宋_GB2312" w:eastAsia="仿宋_GB2312" w:cs="仿宋_GB2312"/>
          <w:color w:val="000000"/>
          <w:kern w:val="0"/>
          <w:sz w:val="32"/>
          <w:szCs w:val="32"/>
          <w:lang w:val="en-US" w:eastAsia="zh-CN" w:bidi="ar"/>
        </w:rPr>
        <w:t>深入了解养殖从业者需求，针对具体问题提供个性化的服务指导。落实专门联络员、专家指导员制度，建立沟通及时、方式灵活、分类服务、精准指导的长效工作机制</w:t>
      </w:r>
      <w:r>
        <w:rPr>
          <w:rFonts w:hint="default" w:ascii="Times New Roman" w:hAnsi="Times New Roman" w:eastAsia="仿宋_GB2312" w:cs="Times New Roman"/>
          <w:color w:val="000000"/>
          <w:kern w:val="0"/>
          <w:sz w:val="32"/>
          <w:szCs w:val="32"/>
          <w:lang w:val="en-US" w:eastAsia="zh-CN" w:bidi="ar"/>
        </w:rPr>
        <w:t>。</w:t>
      </w:r>
    </w:p>
    <w:p>
      <w:pPr>
        <w:spacing w:line="580" w:lineRule="exact"/>
        <w:ind w:firstLine="620"/>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楷体_GB2312" w:cs="Times New Roman"/>
          <w:b/>
          <w:bCs/>
          <w:sz w:val="32"/>
          <w:szCs w:val="32"/>
        </w:rPr>
        <w:t>（三）</w:t>
      </w:r>
      <w:r>
        <w:rPr>
          <w:rFonts w:hint="eastAsia" w:ascii="Times New Roman" w:hAnsi="Times New Roman" w:eastAsia="楷体_GB2312" w:cs="Times New Roman"/>
          <w:b/>
          <w:bCs/>
          <w:sz w:val="32"/>
          <w:szCs w:val="32"/>
          <w:lang w:eastAsia="zh-CN"/>
        </w:rPr>
        <w:t>以点带面，扩大影响</w:t>
      </w:r>
      <w:r>
        <w:rPr>
          <w:rFonts w:hint="default" w:ascii="Times New Roman" w:hAnsi="Times New Roman" w:eastAsia="楷体_GB2312" w:cs="Times New Roman"/>
          <w:b/>
          <w:bCs/>
          <w:sz w:val="32"/>
          <w:szCs w:val="32"/>
        </w:rPr>
        <w:t>。</w:t>
      </w:r>
      <w:r>
        <w:rPr>
          <w:rFonts w:hint="eastAsia" w:ascii="仿宋_GB2312" w:hAnsi="仿宋_GB2312" w:eastAsia="仿宋_GB2312" w:cs="仿宋_GB2312"/>
          <w:b w:val="0"/>
          <w:bCs w:val="0"/>
          <w:sz w:val="32"/>
          <w:szCs w:val="32"/>
          <w:lang w:eastAsia="zh-CN"/>
        </w:rPr>
        <w:t>结合用药减量行动，开展“</w:t>
      </w:r>
      <w:r>
        <w:rPr>
          <w:rFonts w:hint="eastAsia" w:ascii="仿宋_GB2312" w:hAnsi="仿宋_GB2312" w:eastAsia="仿宋_GB2312" w:cs="仿宋_GB2312"/>
          <w:b w:val="0"/>
          <w:bCs w:val="0"/>
          <w:sz w:val="32"/>
          <w:szCs w:val="32"/>
          <w:lang w:val="en-US" w:eastAsia="zh-CN"/>
        </w:rPr>
        <w:t>五大行动</w:t>
      </w:r>
      <w:r>
        <w:rPr>
          <w:rFonts w:hint="eastAsia" w:ascii="仿宋_GB2312" w:hAnsi="仿宋_GB2312" w:eastAsia="仿宋_GB2312" w:cs="仿宋_GB2312"/>
          <w:b w:val="0"/>
          <w:bCs w:val="0"/>
          <w:sz w:val="32"/>
          <w:szCs w:val="32"/>
          <w:lang w:eastAsia="zh-CN"/>
        </w:rPr>
        <w:t>”骨干基地现场示范和典型案例宣传推介，辐射带动中小散养殖户。</w:t>
      </w:r>
      <w:r>
        <w:rPr>
          <w:rFonts w:hint="eastAsia" w:ascii="仿宋_GB2312" w:hAnsi="仿宋_GB2312" w:eastAsia="仿宋_GB2312" w:cs="仿宋_GB2312"/>
          <w:color w:val="000000"/>
          <w:kern w:val="0"/>
          <w:sz w:val="32"/>
          <w:szCs w:val="32"/>
          <w:lang w:val="en-US" w:eastAsia="zh-CN" w:bidi="ar"/>
        </w:rPr>
        <w:t>充分利用总站官网、“中国水产”微信公众号及其他新媒体平台等媒体媒介，矩阵宣传水产养殖规范用药科普下乡活动的经验做法，提升活动影响力和公信力。</w:t>
      </w:r>
    </w:p>
    <w:p>
      <w:pPr>
        <w:spacing w:line="580" w:lineRule="exact"/>
        <w:ind w:firstLine="620"/>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请各单位</w:t>
      </w:r>
      <w:r>
        <w:rPr>
          <w:rFonts w:hint="default" w:ascii="Times New Roman" w:hAnsi="Times New Roman" w:eastAsia="仿宋_GB2312" w:cs="Times New Roman"/>
          <w:color w:val="000000"/>
          <w:kern w:val="0"/>
          <w:sz w:val="32"/>
          <w:szCs w:val="32"/>
          <w:lang w:val="en-US" w:eastAsia="zh-CN" w:bidi="ar"/>
        </w:rPr>
        <w:t>于6月15日前将上半年活动情况统计表（见附件1-1）、11月15日前将全年活动情况统计表、工作总结及相关证明材料（包含照片、新闻报道等）报送至总站。</w:t>
      </w:r>
    </w:p>
    <w:p>
      <w:pPr>
        <w:spacing w:line="580" w:lineRule="exact"/>
        <w:ind w:firstLine="620"/>
        <w:rPr>
          <w:rFonts w:hint="eastAsia"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联系方式： 质量安全处</w:t>
      </w:r>
      <w:r>
        <w:rPr>
          <w:rFonts w:hint="eastAsia" w:ascii="Times New Roman" w:hAnsi="Times New Roman" w:eastAsia="仿宋_GB2312" w:cs="Times New Roman"/>
          <w:color w:val="000000"/>
          <w:kern w:val="0"/>
          <w:sz w:val="32"/>
          <w:szCs w:val="32"/>
          <w:lang w:val="en-US" w:eastAsia="zh" w:bidi="ar"/>
        </w:rPr>
        <w:t xml:space="preserve"> </w:t>
      </w:r>
      <w:r>
        <w:rPr>
          <w:rFonts w:hint="eastAsia" w:ascii="Times New Roman" w:hAnsi="Times New Roman" w:eastAsia="仿宋_GB2312" w:cs="Times New Roman"/>
          <w:color w:val="000000"/>
          <w:kern w:val="0"/>
          <w:sz w:val="32"/>
          <w:szCs w:val="32"/>
          <w:lang w:val="en-US" w:eastAsia="zh-CN" w:bidi="ar"/>
        </w:rPr>
        <w:t>梁艳</w:t>
      </w:r>
    </w:p>
    <w:p>
      <w:pPr>
        <w:spacing w:line="580" w:lineRule="exact"/>
        <w:ind w:firstLine="620"/>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电话：010-5919549</w:t>
      </w:r>
      <w:r>
        <w:rPr>
          <w:rFonts w:hint="eastAsia" w:ascii="Times New Roman" w:hAnsi="Times New Roman" w:eastAsia="仿宋_GB2312"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，邮箱：</w:t>
      </w:r>
      <w:r>
        <w:rPr>
          <w:rFonts w:hint="default" w:ascii="Times New Roman" w:hAnsi="Times New Roman" w:eastAsia="仿宋_GB2312" w:cs="Times New Roman"/>
          <w:color w:val="000000"/>
          <w:kern w:val="0"/>
          <w:sz w:val="32"/>
          <w:szCs w:val="32"/>
          <w:lang w:val="en-US" w:eastAsia="zh-CN" w:bidi="ar"/>
        </w:rPr>
        <w:fldChar w:fldCharType="begin"/>
      </w:r>
      <w:r>
        <w:rPr>
          <w:rFonts w:hint="default" w:ascii="Times New Roman" w:hAnsi="Times New Roman" w:eastAsia="仿宋_GB2312" w:cs="Times New Roman"/>
          <w:color w:val="000000"/>
          <w:kern w:val="0"/>
          <w:sz w:val="32"/>
          <w:szCs w:val="32"/>
          <w:lang w:val="en-US" w:eastAsia="zh-CN" w:bidi="ar"/>
        </w:rPr>
        <w:instrText xml:space="preserve"> HYPERLINK "mailto:sczlaqc@163.com" </w:instrText>
      </w:r>
      <w:r>
        <w:rPr>
          <w:rFonts w:hint="default" w:ascii="Times New Roman" w:hAnsi="Times New Roman" w:eastAsia="仿宋_GB2312" w:cs="Times New Roman"/>
          <w:color w:val="000000"/>
          <w:kern w:val="0"/>
          <w:sz w:val="32"/>
          <w:szCs w:val="32"/>
          <w:lang w:val="en-US" w:eastAsia="zh-CN" w:bidi="ar"/>
        </w:rPr>
        <w:fldChar w:fldCharType="separate"/>
      </w:r>
      <w:r>
        <w:rPr>
          <w:rFonts w:hint="default" w:ascii="Times New Roman" w:hAnsi="Times New Roman" w:eastAsia="仿宋_GB2312" w:cs="Times New Roman"/>
          <w:color w:val="000000"/>
          <w:kern w:val="0"/>
          <w:sz w:val="32"/>
          <w:szCs w:val="32"/>
          <w:lang w:val="en-US" w:eastAsia="zh-CN" w:bidi="ar"/>
        </w:rPr>
        <w:t>sczlaqc@163.com</w:t>
      </w:r>
      <w:r>
        <w:rPr>
          <w:rFonts w:hint="default" w:ascii="Times New Roman" w:hAnsi="Times New Roman" w:eastAsia="仿宋_GB2312" w:cs="Times New Roman"/>
          <w:color w:val="000000"/>
          <w:kern w:val="0"/>
          <w:sz w:val="32"/>
          <w:szCs w:val="32"/>
          <w:lang w:val="en-US" w:eastAsia="zh-CN" w:bidi="ar"/>
        </w:rPr>
        <w:fldChar w:fldCharType="end"/>
      </w:r>
    </w:p>
    <w:p>
      <w:pPr>
        <w:spacing w:line="580" w:lineRule="exact"/>
        <w:ind w:firstLine="620"/>
        <w:rPr>
          <w:rFonts w:hint="default" w:ascii="Times New Roman" w:hAnsi="Times New Roman" w:eastAsia="仿宋_GB2312" w:cs="Times New Roman"/>
          <w:color w:val="000000"/>
          <w:kern w:val="0"/>
          <w:sz w:val="32"/>
          <w:szCs w:val="32"/>
          <w:lang w:val="en-US" w:eastAsia="zh-CN" w:bidi="ar"/>
        </w:rPr>
      </w:pPr>
    </w:p>
    <w:p>
      <w:pPr>
        <w:spacing w:line="580" w:lineRule="exact"/>
        <w:ind w:firstLine="620"/>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附件：1-1水产养殖规范用药科普下乡活动情况统计表</w:t>
      </w:r>
    </w:p>
    <w:p>
      <w:pPr>
        <w:spacing w:line="580" w:lineRule="exact"/>
        <w:ind w:firstLine="620"/>
        <w:rPr>
          <w:rFonts w:hint="default" w:ascii="Times New Roman" w:hAnsi="Times New Roman" w:eastAsia="仿宋_GB2312" w:cs="Times New Roman"/>
          <w:color w:val="000000"/>
          <w:kern w:val="0"/>
          <w:sz w:val="32"/>
          <w:szCs w:val="32"/>
          <w:lang w:val="en-US" w:eastAsia="zh-CN" w:bidi="ar"/>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widowControl/>
        <w:spacing w:line="580" w:lineRule="exact"/>
        <w:ind w:firstLine="0" w:firstLineChars="0"/>
        <w:jc w:val="left"/>
        <w:rPr>
          <w:rFonts w:hint="default" w:ascii="Times New Roman" w:hAnsi="Times New Roman" w:eastAsia="CESI黑体-GB2312" w:cs="Times New Roman"/>
          <w:b w:val="0"/>
          <w:bCs w:val="0"/>
          <w:sz w:val="32"/>
          <w:szCs w:val="32"/>
          <w:lang w:val="en-US" w:eastAsia="zh-CN"/>
        </w:rPr>
      </w:pPr>
      <w:r>
        <w:rPr>
          <w:rFonts w:hint="default" w:ascii="Times New Roman" w:hAnsi="Times New Roman" w:eastAsia="CESI黑体-GB2312" w:cs="Times New Roman"/>
          <w:b w:val="0"/>
          <w:bCs w:val="0"/>
          <w:sz w:val="32"/>
          <w:szCs w:val="32"/>
        </w:rPr>
        <w:t>附</w:t>
      </w:r>
      <w:r>
        <w:rPr>
          <w:rFonts w:hint="default" w:ascii="Times New Roman" w:hAnsi="Times New Roman" w:eastAsia="CESI黑体-GB2312" w:cs="Times New Roman"/>
          <w:b w:val="0"/>
          <w:bCs w:val="0"/>
          <w:sz w:val="32"/>
          <w:szCs w:val="32"/>
          <w:lang w:eastAsia="zh-CN"/>
        </w:rPr>
        <w:t>件</w:t>
      </w:r>
      <w:r>
        <w:rPr>
          <w:rFonts w:hint="default" w:ascii="Times New Roman" w:hAnsi="Times New Roman" w:eastAsia="CESI黑体-GB2312" w:cs="Times New Roman"/>
          <w:b w:val="0"/>
          <w:bCs w:val="0"/>
          <w:sz w:val="32"/>
          <w:szCs w:val="32"/>
          <w:lang w:val="en-US" w:eastAsia="zh-CN"/>
        </w:rPr>
        <w:t>1-1</w:t>
      </w:r>
    </w:p>
    <w:tbl>
      <w:tblPr>
        <w:tblStyle w:val="5"/>
        <w:tblW w:w="15324" w:type="dxa"/>
        <w:tblInd w:w="-269" w:type="dxa"/>
        <w:tblLayout w:type="fixed"/>
        <w:tblCellMar>
          <w:top w:w="0" w:type="dxa"/>
          <w:left w:w="108" w:type="dxa"/>
          <w:bottom w:w="0" w:type="dxa"/>
          <w:right w:w="108" w:type="dxa"/>
        </w:tblCellMar>
      </w:tblPr>
      <w:tblGrid>
        <w:gridCol w:w="761"/>
        <w:gridCol w:w="750"/>
        <w:gridCol w:w="750"/>
        <w:gridCol w:w="1134"/>
        <w:gridCol w:w="1105"/>
        <w:gridCol w:w="1036"/>
        <w:gridCol w:w="1637"/>
        <w:gridCol w:w="899"/>
        <w:gridCol w:w="396"/>
        <w:gridCol w:w="1268"/>
        <w:gridCol w:w="900"/>
        <w:gridCol w:w="736"/>
        <w:gridCol w:w="218"/>
        <w:gridCol w:w="1078"/>
        <w:gridCol w:w="1093"/>
        <w:gridCol w:w="857"/>
        <w:gridCol w:w="706"/>
      </w:tblGrid>
      <w:tr>
        <w:tblPrEx>
          <w:tblCellMar>
            <w:top w:w="0" w:type="dxa"/>
            <w:left w:w="108" w:type="dxa"/>
            <w:bottom w:w="0" w:type="dxa"/>
            <w:right w:w="108" w:type="dxa"/>
          </w:tblCellMar>
        </w:tblPrEx>
        <w:trPr>
          <w:trHeight w:val="562" w:hRule="atLeast"/>
        </w:trPr>
        <w:tc>
          <w:tcPr>
            <w:tcW w:w="15324" w:type="dxa"/>
            <w:gridSpan w:val="17"/>
            <w:tcBorders>
              <w:top w:val="nil"/>
              <w:left w:val="nil"/>
              <w:bottom w:val="single" w:color="auto" w:sz="4" w:space="0"/>
              <w:right w:val="nil"/>
            </w:tcBorders>
            <w:noWrap w:val="0"/>
            <w:vAlign w:val="center"/>
          </w:tcPr>
          <w:p>
            <w:pPr>
              <w:widowControl/>
              <w:jc w:val="center"/>
              <w:rPr>
                <w:rFonts w:hint="default" w:ascii="Times New Roman" w:hAnsi="Times New Roman" w:eastAsia="仿宋_GB2312" w:cs="Times New Roman"/>
                <w:b/>
                <w:bCs/>
                <w:color w:val="000000"/>
                <w:kern w:val="0"/>
                <w:sz w:val="40"/>
                <w:szCs w:val="40"/>
              </w:rPr>
            </w:pPr>
            <w:r>
              <w:rPr>
                <w:rFonts w:hint="default" w:ascii="Times New Roman" w:hAnsi="Times New Roman" w:eastAsia="仿宋_GB2312" w:cs="Times New Roman"/>
                <w:b/>
                <w:bCs/>
                <w:color w:val="000000"/>
                <w:kern w:val="0"/>
                <w:sz w:val="40"/>
                <w:szCs w:val="40"/>
              </w:rPr>
              <w:t>水产养殖规范用药科普下乡活动情况统计表</w:t>
            </w:r>
          </w:p>
        </w:tc>
      </w:tr>
      <w:tr>
        <w:tblPrEx>
          <w:tblCellMar>
            <w:top w:w="0" w:type="dxa"/>
            <w:left w:w="108" w:type="dxa"/>
            <w:bottom w:w="0" w:type="dxa"/>
            <w:right w:w="108" w:type="dxa"/>
          </w:tblCellMar>
        </w:tblPrEx>
        <w:trPr>
          <w:trHeight w:val="524" w:hRule="atLeast"/>
        </w:trPr>
        <w:tc>
          <w:tcPr>
            <w:tcW w:w="5536"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填表单位（盖章）：</w:t>
            </w:r>
          </w:p>
        </w:tc>
        <w:tc>
          <w:tcPr>
            <w:tcW w:w="253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lang w:val="en-US" w:eastAsia="zh-CN"/>
              </w:rPr>
            </w:pPr>
            <w:r>
              <w:rPr>
                <w:rFonts w:hint="eastAsia" w:ascii="Times New Roman" w:hAnsi="Times New Roman" w:eastAsia="仿宋_GB2312" w:cs="Times New Roman"/>
                <w:color w:val="000000"/>
                <w:kern w:val="0"/>
                <w:sz w:val="22"/>
                <w:lang w:eastAsia="zh-CN"/>
              </w:rPr>
              <w:t>填表人：</w:t>
            </w:r>
            <w:r>
              <w:rPr>
                <w:rFonts w:hint="eastAsia" w:ascii="Times New Roman" w:hAnsi="Times New Roman" w:eastAsia="仿宋_GB2312" w:cs="Times New Roman"/>
                <w:color w:val="000000"/>
                <w:kern w:val="0"/>
                <w:sz w:val="22"/>
                <w:lang w:val="en-US" w:eastAsia="zh-CN"/>
              </w:rPr>
              <w:t xml:space="preserve">                 </w:t>
            </w:r>
          </w:p>
        </w:tc>
        <w:tc>
          <w:tcPr>
            <w:tcW w:w="3300"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eastAsia="仿宋_GB2312" w:cs="Times New Roman"/>
                <w:color w:val="000000"/>
                <w:kern w:val="0"/>
                <w:sz w:val="22"/>
                <w:lang w:eastAsia="zh-CN"/>
              </w:rPr>
            </w:pPr>
            <w:r>
              <w:rPr>
                <w:rFonts w:hint="eastAsia" w:ascii="Times New Roman" w:hAnsi="Times New Roman" w:eastAsia="仿宋_GB2312" w:cs="Times New Roman"/>
                <w:color w:val="000000"/>
                <w:kern w:val="0"/>
                <w:sz w:val="22"/>
                <w:lang w:val="en-US" w:eastAsia="zh-CN"/>
              </w:rPr>
              <w:t>联系电话：</w:t>
            </w:r>
          </w:p>
        </w:tc>
        <w:tc>
          <w:tcPr>
            <w:tcW w:w="395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填表时间：</w:t>
            </w:r>
            <w:r>
              <w:rPr>
                <w:rFonts w:hint="default" w:ascii="Times New Roman" w:hAnsi="Times New Roman" w:eastAsia="仿宋_GB2312" w:cs="Times New Roman"/>
                <w:color w:val="000000"/>
                <w:kern w:val="0"/>
                <w:sz w:val="22"/>
                <w:lang w:val="en-US" w:eastAsia="zh-CN"/>
              </w:rPr>
              <w:t xml:space="preserve">    </w:t>
            </w:r>
            <w:r>
              <w:rPr>
                <w:rFonts w:hint="default" w:ascii="Times New Roman" w:hAnsi="Times New Roman" w:eastAsia="仿宋_GB2312" w:cs="Times New Roman"/>
                <w:color w:val="000000"/>
                <w:kern w:val="0"/>
                <w:sz w:val="22"/>
              </w:rPr>
              <w:t xml:space="preserve">年  </w:t>
            </w:r>
            <w:r>
              <w:rPr>
                <w:rFonts w:hint="default" w:ascii="Times New Roman" w:hAnsi="Times New Roman" w:eastAsia="仿宋_GB2312" w:cs="Times New Roman"/>
                <w:color w:val="000000"/>
                <w:kern w:val="0"/>
                <w:sz w:val="22"/>
                <w:lang w:val="en-US" w:eastAsia="zh-CN"/>
              </w:rPr>
              <w:t xml:space="preserve"> </w:t>
            </w:r>
            <w:r>
              <w:rPr>
                <w:rFonts w:hint="default" w:ascii="Times New Roman" w:hAnsi="Times New Roman" w:eastAsia="仿宋_GB2312" w:cs="Times New Roman"/>
                <w:color w:val="000000"/>
                <w:kern w:val="0"/>
                <w:sz w:val="22"/>
              </w:rPr>
              <w:t xml:space="preserve"> 月 </w:t>
            </w:r>
            <w:r>
              <w:rPr>
                <w:rFonts w:hint="default" w:ascii="Times New Roman" w:hAnsi="Times New Roman" w:eastAsia="仿宋_GB2312" w:cs="Times New Roman"/>
                <w:color w:val="000000"/>
                <w:kern w:val="0"/>
                <w:sz w:val="22"/>
                <w:lang w:val="en-US" w:eastAsia="zh-CN"/>
              </w:rPr>
              <w:t xml:space="preserve"> </w:t>
            </w:r>
            <w:r>
              <w:rPr>
                <w:rFonts w:hint="default" w:ascii="Times New Roman" w:hAnsi="Times New Roman" w:eastAsia="仿宋_GB2312" w:cs="Times New Roman"/>
                <w:color w:val="000000"/>
                <w:kern w:val="0"/>
                <w:sz w:val="22"/>
              </w:rPr>
              <w:t xml:space="preserve">   日</w:t>
            </w:r>
          </w:p>
        </w:tc>
      </w:tr>
      <w:tr>
        <w:tblPrEx>
          <w:tblCellMar>
            <w:top w:w="0" w:type="dxa"/>
            <w:left w:w="108" w:type="dxa"/>
            <w:bottom w:w="0" w:type="dxa"/>
            <w:right w:w="108" w:type="dxa"/>
          </w:tblCellMar>
        </w:tblPrEx>
        <w:trPr>
          <w:trHeight w:val="414" w:hRule="atLeast"/>
        </w:trPr>
        <w:tc>
          <w:tcPr>
            <w:tcW w:w="5536"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工作开展情况</w:t>
            </w:r>
          </w:p>
        </w:tc>
        <w:tc>
          <w:tcPr>
            <w:tcW w:w="9082" w:type="dxa"/>
            <w:gridSpan w:val="10"/>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宣传培训情况</w:t>
            </w:r>
          </w:p>
        </w:tc>
        <w:tc>
          <w:tcPr>
            <w:tcW w:w="706"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备注</w:t>
            </w:r>
          </w:p>
        </w:tc>
      </w:tr>
      <w:tr>
        <w:tblPrEx>
          <w:tblCellMar>
            <w:top w:w="0" w:type="dxa"/>
            <w:left w:w="108" w:type="dxa"/>
            <w:bottom w:w="0" w:type="dxa"/>
            <w:right w:w="108" w:type="dxa"/>
          </w:tblCellMar>
        </w:tblPrEx>
        <w:trPr>
          <w:trHeight w:val="444" w:hRule="atLeast"/>
        </w:trPr>
        <w:tc>
          <w:tcPr>
            <w:tcW w:w="2261" w:type="dxa"/>
            <w:gridSpan w:val="3"/>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参与活动地区统计</w:t>
            </w:r>
          </w:p>
        </w:tc>
        <w:tc>
          <w:tcPr>
            <w:tcW w:w="3275"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参与活动人员情况</w:t>
            </w:r>
          </w:p>
        </w:tc>
        <w:tc>
          <w:tcPr>
            <w:tcW w:w="7132" w:type="dxa"/>
            <w:gridSpan w:val="8"/>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宣传情况</w:t>
            </w:r>
          </w:p>
        </w:tc>
        <w:tc>
          <w:tcPr>
            <w:tcW w:w="195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培训情况</w:t>
            </w:r>
          </w:p>
        </w:tc>
        <w:tc>
          <w:tcPr>
            <w:tcW w:w="70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p>
        </w:tc>
      </w:tr>
      <w:tr>
        <w:tblPrEx>
          <w:tblCellMar>
            <w:top w:w="0" w:type="dxa"/>
            <w:left w:w="108" w:type="dxa"/>
            <w:bottom w:w="0" w:type="dxa"/>
            <w:right w:w="108" w:type="dxa"/>
          </w:tblCellMar>
        </w:tblPrEx>
        <w:trPr>
          <w:trHeight w:val="402" w:hRule="atLeast"/>
        </w:trPr>
        <w:tc>
          <w:tcPr>
            <w:tcW w:w="76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市（个）</w:t>
            </w:r>
          </w:p>
        </w:tc>
        <w:tc>
          <w:tcPr>
            <w:tcW w:w="75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县（个）</w:t>
            </w:r>
          </w:p>
        </w:tc>
        <w:tc>
          <w:tcPr>
            <w:tcW w:w="75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乡（个）</w:t>
            </w:r>
          </w:p>
        </w:tc>
        <w:tc>
          <w:tcPr>
            <w:tcW w:w="113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推广系统（人次）</w:t>
            </w:r>
          </w:p>
        </w:tc>
        <w:tc>
          <w:tcPr>
            <w:tcW w:w="1105"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技术专家（人次）</w:t>
            </w:r>
          </w:p>
        </w:tc>
        <w:tc>
          <w:tcPr>
            <w:tcW w:w="1036"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rPr>
              <w:t>渔民</w:t>
            </w:r>
          </w:p>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（人次）</w:t>
            </w:r>
          </w:p>
        </w:tc>
        <w:tc>
          <w:tcPr>
            <w:tcW w:w="2932" w:type="dxa"/>
            <w:gridSpan w:val="3"/>
            <w:tcBorders>
              <w:top w:val="single" w:color="auto" w:sz="4" w:space="0"/>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宣传材料</w:t>
            </w:r>
          </w:p>
        </w:tc>
        <w:tc>
          <w:tcPr>
            <w:tcW w:w="2168"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媒体宣传</w:t>
            </w:r>
          </w:p>
        </w:tc>
        <w:tc>
          <w:tcPr>
            <w:tcW w:w="2032"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其他活动</w:t>
            </w:r>
          </w:p>
        </w:tc>
        <w:tc>
          <w:tcPr>
            <w:tcW w:w="1093"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举办培训班次数合计（次）</w:t>
            </w:r>
          </w:p>
        </w:tc>
        <w:tc>
          <w:tcPr>
            <w:tcW w:w="85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参加培训人数总计（人）</w:t>
            </w:r>
          </w:p>
        </w:tc>
        <w:tc>
          <w:tcPr>
            <w:tcW w:w="70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p>
        </w:tc>
      </w:tr>
      <w:tr>
        <w:tblPrEx>
          <w:tblCellMar>
            <w:top w:w="0" w:type="dxa"/>
            <w:left w:w="108" w:type="dxa"/>
            <w:bottom w:w="0" w:type="dxa"/>
            <w:right w:w="108" w:type="dxa"/>
          </w:tblCellMar>
        </w:tblPrEx>
        <w:trPr>
          <w:trHeight w:val="1219" w:hRule="atLeast"/>
        </w:trPr>
        <w:tc>
          <w:tcPr>
            <w:tcW w:w="76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75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75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11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103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1637" w:type="dxa"/>
            <w:tcBorders>
              <w:top w:val="nil"/>
              <w:left w:val="nil"/>
              <w:bottom w:val="single" w:color="auto" w:sz="4" w:space="0"/>
              <w:right w:val="single" w:color="auto" w:sz="4" w:space="0"/>
            </w:tcBorders>
            <w:noWrap/>
            <w:vAlign w:val="center"/>
          </w:tcPr>
          <w:p>
            <w:pPr>
              <w:widowControl/>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宣传材料（种）</w:t>
            </w:r>
          </w:p>
        </w:tc>
        <w:tc>
          <w:tcPr>
            <w:tcW w:w="1295" w:type="dxa"/>
            <w:gridSpan w:val="2"/>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发放数量（册/份）</w:t>
            </w:r>
          </w:p>
        </w:tc>
        <w:tc>
          <w:tcPr>
            <w:tcW w:w="1268" w:type="dxa"/>
            <w:tcBorders>
              <w:top w:val="nil"/>
              <w:left w:val="nil"/>
              <w:bottom w:val="single" w:color="auto" w:sz="4" w:space="0"/>
              <w:right w:val="single" w:color="auto" w:sz="4" w:space="0"/>
            </w:tcBorders>
            <w:noWrap/>
            <w:vAlign w:val="center"/>
          </w:tcPr>
          <w:p>
            <w:pPr>
              <w:widowControl/>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重点媒体（全称）</w:t>
            </w:r>
          </w:p>
        </w:tc>
        <w:tc>
          <w:tcPr>
            <w:tcW w:w="900" w:type="dxa"/>
            <w:tcBorders>
              <w:top w:val="nil"/>
              <w:left w:val="nil"/>
              <w:bottom w:val="single" w:color="auto" w:sz="4" w:space="0"/>
              <w:right w:val="single" w:color="auto" w:sz="4" w:space="0"/>
            </w:tcBorders>
            <w:noWrap/>
            <w:vAlign w:val="center"/>
          </w:tcPr>
          <w:p>
            <w:pPr>
              <w:widowControl/>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宣传次数（次）</w:t>
            </w:r>
          </w:p>
        </w:tc>
        <w:tc>
          <w:tcPr>
            <w:tcW w:w="954" w:type="dxa"/>
            <w:gridSpan w:val="2"/>
            <w:tcBorders>
              <w:top w:val="nil"/>
              <w:left w:val="nil"/>
              <w:bottom w:val="single" w:color="auto" w:sz="4" w:space="0"/>
              <w:right w:val="single" w:color="auto" w:sz="4" w:space="0"/>
            </w:tcBorders>
            <w:noWrap/>
            <w:vAlign w:val="center"/>
          </w:tcPr>
          <w:p>
            <w:pPr>
              <w:widowControl/>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科技入户（次）</w:t>
            </w:r>
          </w:p>
        </w:tc>
        <w:tc>
          <w:tcPr>
            <w:tcW w:w="1078" w:type="dxa"/>
            <w:tcBorders>
              <w:top w:val="nil"/>
              <w:left w:val="nil"/>
              <w:bottom w:val="single" w:color="auto" w:sz="4" w:space="0"/>
              <w:right w:val="single" w:color="auto" w:sz="4" w:space="0"/>
            </w:tcBorders>
            <w:noWrap/>
            <w:vAlign w:val="center"/>
          </w:tcPr>
          <w:p>
            <w:pPr>
              <w:widowControl/>
              <w:rPr>
                <w:rFonts w:hint="default"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eastAsia="zh-CN"/>
              </w:rPr>
              <w:t>参加</w:t>
            </w:r>
            <w:r>
              <w:rPr>
                <w:rFonts w:hint="default" w:ascii="Times New Roman" w:hAnsi="Times New Roman" w:eastAsia="仿宋_GB2312" w:cs="Times New Roman"/>
                <w:color w:val="000000"/>
                <w:kern w:val="0"/>
                <w:szCs w:val="21"/>
              </w:rPr>
              <w:t>渔资打假（次）</w:t>
            </w:r>
          </w:p>
        </w:tc>
        <w:tc>
          <w:tcPr>
            <w:tcW w:w="109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8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Cs w:val="21"/>
              </w:rPr>
            </w:pPr>
          </w:p>
        </w:tc>
        <w:tc>
          <w:tcPr>
            <w:tcW w:w="70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p>
        </w:tc>
      </w:tr>
      <w:tr>
        <w:tblPrEx>
          <w:tblCellMar>
            <w:top w:w="0" w:type="dxa"/>
            <w:left w:w="108" w:type="dxa"/>
            <w:bottom w:w="0" w:type="dxa"/>
            <w:right w:w="108" w:type="dxa"/>
          </w:tblCellMar>
        </w:tblPrEx>
        <w:trPr>
          <w:trHeight w:val="646" w:hRule="atLeast"/>
        </w:trPr>
        <w:tc>
          <w:tcPr>
            <w:tcW w:w="761" w:type="dxa"/>
            <w:vMerge w:val="restart"/>
            <w:tcBorders>
              <w:top w:val="nil"/>
              <w:left w:val="single" w:color="auto" w:sz="4" w:space="0"/>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750" w:type="dxa"/>
            <w:vMerge w:val="restart"/>
            <w:tcBorders>
              <w:top w:val="nil"/>
              <w:left w:val="nil"/>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750" w:type="dxa"/>
            <w:vMerge w:val="restart"/>
            <w:tcBorders>
              <w:top w:val="nil"/>
              <w:left w:val="nil"/>
              <w:right w:val="single" w:color="auto" w:sz="4" w:space="0"/>
            </w:tcBorders>
            <w:noWrap/>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1134" w:type="dxa"/>
            <w:vMerge w:val="restart"/>
            <w:tcBorders>
              <w:top w:val="nil"/>
              <w:left w:val="nil"/>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105" w:type="dxa"/>
            <w:vMerge w:val="restart"/>
            <w:tcBorders>
              <w:top w:val="nil"/>
              <w:left w:val="nil"/>
              <w:right w:val="single" w:color="auto" w:sz="4" w:space="0"/>
            </w:tcBorders>
            <w:noWrap w:val="0"/>
            <w:vAlign w:val="center"/>
          </w:tcPr>
          <w:p>
            <w:pPr>
              <w:widowControl/>
              <w:jc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036" w:type="dxa"/>
            <w:vMerge w:val="restart"/>
            <w:tcBorders>
              <w:top w:val="nil"/>
              <w:left w:val="nil"/>
              <w:right w:val="single" w:color="auto" w:sz="4" w:space="0"/>
            </w:tcBorders>
            <w:noWrap/>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163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1295" w:type="dxa"/>
            <w:gridSpan w:val="2"/>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p>
            <w:pPr>
              <w:widowControl/>
              <w:ind w:firstLine="420" w:firstLineChars="200"/>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rPr>
              <w:t>　</w:t>
            </w:r>
          </w:p>
        </w:tc>
        <w:tc>
          <w:tcPr>
            <w:tcW w:w="1268"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900"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954" w:type="dxa"/>
            <w:gridSpan w:val="2"/>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1078"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1093"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857"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c>
          <w:tcPr>
            <w:tcW w:w="706" w:type="dxa"/>
            <w:vMerge w:val="restart"/>
            <w:tcBorders>
              <w:top w:val="nil"/>
              <w:left w:val="nil"/>
              <w:right w:val="single" w:color="auto" w:sz="4" w:space="0"/>
            </w:tcBorders>
            <w:noWrap w:val="0"/>
            <w:vAlign w:val="center"/>
          </w:tcPr>
          <w:p>
            <w:pPr>
              <w:widowControl/>
              <w:jc w:val="left"/>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　</w:t>
            </w:r>
          </w:p>
        </w:tc>
      </w:tr>
      <w:tr>
        <w:tblPrEx>
          <w:tblCellMar>
            <w:top w:w="0" w:type="dxa"/>
            <w:left w:w="108" w:type="dxa"/>
            <w:bottom w:w="0" w:type="dxa"/>
            <w:right w:w="108" w:type="dxa"/>
          </w:tblCellMar>
        </w:tblPrEx>
        <w:trPr>
          <w:trHeight w:val="1400" w:hRule="atLeast"/>
        </w:trPr>
        <w:tc>
          <w:tcPr>
            <w:tcW w:w="761" w:type="dxa"/>
            <w:vMerge w:val="continue"/>
            <w:tcBorders>
              <w:left w:val="single" w:color="auto" w:sz="4" w:space="0"/>
              <w:bottom w:val="single" w:color="auto" w:sz="4" w:space="0"/>
              <w:right w:val="single" w:color="auto" w:sz="4" w:space="0"/>
            </w:tcBorders>
            <w:noWrap w:val="0"/>
            <w:vAlign w:val="center"/>
          </w:tcPr>
          <w:p>
            <w:pPr>
              <w:widowControl/>
              <w:ind w:firstLine="420" w:firstLineChars="200"/>
              <w:rPr>
                <w:rFonts w:hint="default" w:ascii="Times New Roman" w:hAnsi="Times New Roman" w:eastAsia="仿宋_GB2312" w:cs="Times New Roman"/>
              </w:rPr>
            </w:pPr>
          </w:p>
        </w:tc>
        <w:tc>
          <w:tcPr>
            <w:tcW w:w="750" w:type="dxa"/>
            <w:vMerge w:val="continue"/>
            <w:tcBorders>
              <w:left w:val="nil"/>
              <w:bottom w:val="single" w:color="auto" w:sz="4" w:space="0"/>
              <w:right w:val="single" w:color="auto" w:sz="4" w:space="0"/>
            </w:tcBorders>
            <w:noWrap w:val="0"/>
            <w:vAlign w:val="center"/>
          </w:tcPr>
          <w:p>
            <w:pPr>
              <w:widowControl/>
              <w:ind w:firstLine="420" w:firstLineChars="200"/>
              <w:rPr>
                <w:rFonts w:hint="default" w:ascii="Times New Roman" w:hAnsi="Times New Roman" w:eastAsia="仿宋_GB2312" w:cs="Times New Roman"/>
              </w:rPr>
            </w:pPr>
          </w:p>
        </w:tc>
        <w:tc>
          <w:tcPr>
            <w:tcW w:w="750" w:type="dxa"/>
            <w:vMerge w:val="continue"/>
            <w:tcBorders>
              <w:left w:val="nil"/>
              <w:bottom w:val="single" w:color="auto" w:sz="4" w:space="0"/>
              <w:right w:val="single" w:color="auto" w:sz="4" w:space="0"/>
            </w:tcBorders>
            <w:noWrap/>
            <w:vAlign w:val="center"/>
          </w:tcPr>
          <w:p>
            <w:pPr>
              <w:widowControl/>
              <w:ind w:firstLine="420" w:firstLineChars="200"/>
              <w:rPr>
                <w:rFonts w:hint="default" w:ascii="Times New Roman" w:hAnsi="Times New Roman" w:eastAsia="仿宋_GB2312" w:cs="Times New Roman"/>
              </w:rPr>
            </w:pPr>
          </w:p>
        </w:tc>
        <w:tc>
          <w:tcPr>
            <w:tcW w:w="1134" w:type="dxa"/>
            <w:vMerge w:val="continue"/>
            <w:tcBorders>
              <w:left w:val="nil"/>
              <w:bottom w:val="single" w:color="auto" w:sz="4" w:space="0"/>
              <w:right w:val="single" w:color="auto" w:sz="4" w:space="0"/>
            </w:tcBorders>
            <w:noWrap w:val="0"/>
            <w:vAlign w:val="center"/>
          </w:tcPr>
          <w:p>
            <w:pPr>
              <w:widowControl/>
              <w:ind w:firstLine="420" w:firstLineChars="200"/>
              <w:rPr>
                <w:rFonts w:hint="default" w:ascii="Times New Roman" w:hAnsi="Times New Roman" w:eastAsia="仿宋_GB2312" w:cs="Times New Roman"/>
              </w:rPr>
            </w:pPr>
          </w:p>
        </w:tc>
        <w:tc>
          <w:tcPr>
            <w:tcW w:w="1105" w:type="dxa"/>
            <w:vMerge w:val="continue"/>
            <w:tcBorders>
              <w:left w:val="nil"/>
              <w:bottom w:val="single" w:color="auto" w:sz="4" w:space="0"/>
              <w:right w:val="single" w:color="auto" w:sz="4" w:space="0"/>
            </w:tcBorders>
            <w:noWrap w:val="0"/>
            <w:vAlign w:val="center"/>
          </w:tcPr>
          <w:p>
            <w:pPr>
              <w:widowControl/>
              <w:ind w:firstLine="420" w:firstLineChars="200"/>
              <w:rPr>
                <w:rFonts w:hint="default" w:ascii="Times New Roman" w:hAnsi="Times New Roman" w:eastAsia="仿宋_GB2312" w:cs="Times New Roman"/>
              </w:rPr>
            </w:pPr>
          </w:p>
        </w:tc>
        <w:tc>
          <w:tcPr>
            <w:tcW w:w="1036" w:type="dxa"/>
            <w:vMerge w:val="continue"/>
            <w:tcBorders>
              <w:left w:val="nil"/>
              <w:bottom w:val="single" w:color="auto" w:sz="4" w:space="0"/>
              <w:right w:val="single" w:color="auto" w:sz="4" w:space="0"/>
            </w:tcBorders>
            <w:noWrap/>
            <w:vAlign w:val="center"/>
          </w:tcPr>
          <w:p>
            <w:pPr>
              <w:widowControl/>
              <w:ind w:firstLine="420" w:firstLineChars="200"/>
              <w:rPr>
                <w:rFonts w:hint="default" w:ascii="Times New Roman" w:hAnsi="Times New Roman" w:eastAsia="仿宋_GB2312" w:cs="Times New Roman"/>
              </w:rPr>
            </w:pPr>
          </w:p>
        </w:tc>
        <w:tc>
          <w:tcPr>
            <w:tcW w:w="1637" w:type="dxa"/>
            <w:tcBorders>
              <w:top w:val="single" w:color="auto" w:sz="4" w:space="0"/>
              <w:left w:val="single" w:color="auto" w:sz="4" w:space="0"/>
              <w:bottom w:val="single" w:color="auto" w:sz="4" w:space="0"/>
              <w:right w:val="single" w:color="auto" w:sz="4" w:space="0"/>
            </w:tcBorders>
            <w:noWrap w:val="0"/>
            <w:vAlign w:val="center"/>
          </w:tcPr>
          <w:p>
            <w:pPr>
              <w:widowControl/>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Cs w:val="21"/>
              </w:rPr>
              <w:t>其中《水产养殖用药明白纸》发放数量（份）</w:t>
            </w:r>
          </w:p>
        </w:tc>
        <w:tc>
          <w:tcPr>
            <w:tcW w:w="1295" w:type="dxa"/>
            <w:gridSpan w:val="2"/>
            <w:tcBorders>
              <w:top w:val="nil"/>
              <w:left w:val="nil"/>
              <w:bottom w:val="single" w:color="auto" w:sz="4" w:space="0"/>
              <w:right w:val="single" w:color="auto" w:sz="4" w:space="0"/>
            </w:tcBorders>
            <w:noWrap/>
            <w:vAlign w:val="center"/>
          </w:tcPr>
          <w:p>
            <w:pPr>
              <w:widowControl/>
              <w:ind w:firstLine="440" w:firstLineChars="200"/>
              <w:rPr>
                <w:rFonts w:hint="default" w:ascii="Times New Roman" w:hAnsi="Times New Roman" w:eastAsia="仿宋_GB2312" w:cs="Times New Roman"/>
                <w:color w:val="000000"/>
                <w:kern w:val="0"/>
                <w:sz w:val="22"/>
              </w:rPr>
            </w:pPr>
          </w:p>
        </w:tc>
        <w:tc>
          <w:tcPr>
            <w:tcW w:w="1268"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900"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954" w:type="dxa"/>
            <w:gridSpan w:val="2"/>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1078"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1093"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857"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c>
          <w:tcPr>
            <w:tcW w:w="706" w:type="dxa"/>
            <w:vMerge w:val="continue"/>
            <w:tcBorders>
              <w:left w:val="nil"/>
              <w:bottom w:val="single" w:color="auto" w:sz="4" w:space="0"/>
              <w:right w:val="single" w:color="auto" w:sz="4" w:space="0"/>
            </w:tcBorders>
            <w:noWrap w:val="0"/>
            <w:vAlign w:val="center"/>
          </w:tcPr>
          <w:p>
            <w:pPr>
              <w:widowControl/>
              <w:ind w:firstLine="440" w:firstLineChars="200"/>
              <w:rPr>
                <w:rFonts w:hint="default" w:ascii="Times New Roman" w:hAnsi="Times New Roman" w:eastAsia="仿宋_GB2312" w:cs="Times New Roman"/>
                <w:color w:val="000000"/>
                <w:kern w:val="0"/>
                <w:sz w:val="22"/>
              </w:rPr>
            </w:pPr>
          </w:p>
        </w:tc>
      </w:tr>
      <w:tr>
        <w:tblPrEx>
          <w:tblCellMar>
            <w:top w:w="0" w:type="dxa"/>
            <w:left w:w="108" w:type="dxa"/>
            <w:bottom w:w="0" w:type="dxa"/>
            <w:right w:w="108" w:type="dxa"/>
          </w:tblCellMar>
        </w:tblPrEx>
        <w:trPr>
          <w:trHeight w:val="1237" w:hRule="atLeast"/>
        </w:trPr>
        <w:tc>
          <w:tcPr>
            <w:tcW w:w="15324" w:type="dxa"/>
            <w:gridSpan w:val="17"/>
            <w:tcBorders>
              <w:top w:val="single" w:color="auto" w:sz="4" w:space="0"/>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注：1.填表单位为省级水产技术推广部门；</w:t>
            </w:r>
          </w:p>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2.宣传媒体包括电视台、广播电台、报纸、期刊、手机APP等；</w:t>
            </w:r>
          </w:p>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lang w:val="en-US" w:eastAsia="zh-CN"/>
              </w:rPr>
              <w:t>3</w:t>
            </w:r>
            <w:r>
              <w:rPr>
                <w:rFonts w:hint="default" w:ascii="Times New Roman" w:hAnsi="Times New Roman" w:eastAsia="仿宋_GB2312" w:cs="Times New Roman"/>
                <w:color w:val="000000"/>
                <w:kern w:val="0"/>
                <w:sz w:val="22"/>
              </w:rPr>
              <w:t>.若存在表中未</w:t>
            </w:r>
            <w:r>
              <w:rPr>
                <w:rFonts w:hint="eastAsia" w:ascii="Times New Roman" w:hAnsi="Times New Roman" w:eastAsia="仿宋_GB2312" w:cs="Times New Roman"/>
                <w:color w:val="000000"/>
                <w:kern w:val="0"/>
                <w:sz w:val="22"/>
                <w:lang w:eastAsia="zh-CN"/>
              </w:rPr>
              <w:t>列出</w:t>
            </w:r>
            <w:r>
              <w:rPr>
                <w:rFonts w:hint="default" w:ascii="Times New Roman" w:hAnsi="Times New Roman" w:eastAsia="仿宋_GB2312" w:cs="Times New Roman"/>
                <w:color w:val="000000"/>
                <w:kern w:val="0"/>
                <w:sz w:val="22"/>
              </w:rPr>
              <w:t>的活动可在备注中自行添加情况说明。</w:t>
            </w:r>
          </w:p>
        </w:tc>
      </w:tr>
    </w:tbl>
    <w:p/>
    <w:p>
      <w:pPr>
        <w:sectPr>
          <w:pgSz w:w="16838" w:h="11906" w:orient="landscape"/>
          <w:pgMar w:top="1803" w:right="1440" w:bottom="1803" w:left="1440" w:header="851" w:footer="992" w:gutter="0"/>
          <w:cols w:space="720" w:num="1"/>
          <w:rtlGutter w:val="0"/>
          <w:docGrid w:type="lines" w:linePitch="319" w:charSpace="0"/>
        </w:sect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抄送：农业农村部渔业渔政管理局、农产品质量安全监管司</w:t>
      </w:r>
    </w:p>
    <w:p>
      <w:pPr>
        <w:pStyle w:val="2"/>
      </w:pPr>
    </w:p>
    <w:sectPr>
      <w:pgSz w:w="11906" w:h="16838"/>
      <w:pgMar w:top="1440" w:right="1803" w:bottom="1440" w:left="1803" w:header="851" w:footer="992" w:gutter="0"/>
      <w:paperSrc/>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ESI黑体-GB2312">
    <w:altName w:val="黑体"/>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fldChar w:fldCharType="begin"/>
                          </w:r>
                          <w:r>
                            <w:instrText xml:space="preserve"> PAGE  \* MERGEFORMAT </w:instrText>
                          </w:r>
                          <w:r>
                            <w:fldChar w:fldCharType="separate"/>
                          </w:r>
                          <w:r>
                            <w:t>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79548"/>
    <w:rsid w:val="06D60A5B"/>
    <w:rsid w:val="0F9BCA87"/>
    <w:rsid w:val="76F79548"/>
    <w:rsid w:val="7FD9215B"/>
    <w:rsid w:val="7FFF0187"/>
    <w:rsid w:val="BB7D1FA2"/>
    <w:rsid w:val="DB3F7E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16.3333333333333</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2024-03-15T21:38:00Z</dcterms:created>
  <dc:creator>nyncbuser</dc:creator>
  <cp:lastModifiedBy>王雅妮</cp:lastModifiedBy>
  <dcterms:modified xsi:type="dcterms:W3CDTF">2024-03-20T06:40:18Z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DDFBF950B0844FCFACB198A3B7DDE9B4</vt:lpwstr>
  </property>
</Properties>
</file>